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D7ECF">
      <w:pPr>
        <w:jc w:val="center"/>
        <w:rPr>
          <w:rFonts w:ascii="微软雅黑" w:hAnsi="微软雅黑" w:eastAsia="微软雅黑"/>
          <w:b/>
          <w:bCs/>
          <w:sz w:val="40"/>
          <w:szCs w:val="40"/>
        </w:rPr>
      </w:pPr>
      <w:bookmarkStart w:id="0" w:name="_Hlk137626516"/>
      <w:r>
        <w:rPr>
          <w:rFonts w:hint="eastAsia" w:ascii="微软雅黑" w:hAnsi="微软雅黑" w:eastAsia="微软雅黑"/>
          <w:b/>
          <w:bCs/>
          <w:sz w:val="40"/>
          <w:szCs w:val="40"/>
        </w:rPr>
        <w:t>高性能工具全国重点实验室</w:t>
      </w:r>
    </w:p>
    <w:p w14:paraId="2E16A617">
      <w:pPr>
        <w:jc w:val="center"/>
        <w:rPr>
          <w:rFonts w:ascii="微软雅黑" w:hAnsi="微软雅黑" w:eastAsia="微软雅黑"/>
          <w:b/>
          <w:bCs/>
          <w:sz w:val="40"/>
          <w:szCs w:val="40"/>
        </w:rPr>
      </w:pPr>
      <w:r>
        <w:rPr>
          <w:rFonts w:hint="eastAsia" w:ascii="微软雅黑" w:hAnsi="微软雅黑" w:eastAsia="微软雅黑"/>
          <w:b/>
          <w:bCs/>
          <w:sz w:val="40"/>
          <w:szCs w:val="40"/>
        </w:rPr>
        <w:t>开放课题管理办法</w:t>
      </w:r>
    </w:p>
    <w:p w14:paraId="3C488C82">
      <w:pPr>
        <w:jc w:val="center"/>
        <w:rPr>
          <w:rFonts w:ascii="微软雅黑" w:hAnsi="微软雅黑" w:eastAsia="微软雅黑"/>
          <w:b/>
          <w:bCs/>
          <w:sz w:val="24"/>
        </w:rPr>
      </w:pPr>
      <w:r>
        <w:rPr>
          <w:rFonts w:hint="eastAsia" w:ascii="微软雅黑" w:hAnsi="微软雅黑" w:eastAsia="微软雅黑"/>
          <w:b/>
          <w:bCs/>
          <w:sz w:val="24"/>
        </w:rPr>
        <w:t>（2025年11月修订）</w:t>
      </w:r>
    </w:p>
    <w:p w14:paraId="35EE807F">
      <w:pPr>
        <w:jc w:val="center"/>
        <w:rPr>
          <w:rFonts w:ascii="仿宋" w:hAnsi="仿宋" w:eastAsia="仿宋"/>
          <w:b/>
          <w:bCs/>
          <w:sz w:val="32"/>
          <w:szCs w:val="32"/>
        </w:rPr>
      </w:pPr>
      <w:r>
        <w:rPr>
          <w:rFonts w:hint="eastAsia" w:ascii="仿宋" w:hAnsi="仿宋" w:eastAsia="仿宋"/>
          <w:b/>
          <w:bCs/>
          <w:sz w:val="32"/>
          <w:szCs w:val="32"/>
        </w:rPr>
        <w:t>第一章 总则</w:t>
      </w:r>
    </w:p>
    <w:p w14:paraId="19C44E33">
      <w:pPr>
        <w:ind w:firstLine="640" w:firstLineChars="200"/>
        <w:rPr>
          <w:rFonts w:ascii="仿宋" w:hAnsi="仿宋" w:eastAsia="仿宋"/>
          <w:sz w:val="32"/>
          <w:szCs w:val="32"/>
        </w:rPr>
      </w:pPr>
      <w:r>
        <w:rPr>
          <w:rFonts w:hint="eastAsia" w:ascii="仿宋" w:hAnsi="仿宋" w:eastAsia="仿宋"/>
          <w:sz w:val="32"/>
          <w:szCs w:val="32"/>
        </w:rPr>
        <w:t>第一条 为贯彻国家重点实验室“开放、流动、联合、竞争”的方针，促进高性能工具领域的基础理论和应用技术研究，发挥全国重点实验室在高层次人才的培养作用，吸引国内外人才到实验室来合作开展前沿性或解决重大科学技术问题的研究，高性能工具全国重点实验室（以下简称实验室）特设立开放基金课题（以下简称开放课题）。</w:t>
      </w:r>
    </w:p>
    <w:p w14:paraId="1AF8A7A3">
      <w:pPr>
        <w:ind w:firstLine="640" w:firstLineChars="200"/>
        <w:rPr>
          <w:rFonts w:ascii="仿宋" w:hAnsi="仿宋" w:eastAsia="仿宋"/>
          <w:sz w:val="32"/>
          <w:szCs w:val="32"/>
        </w:rPr>
      </w:pPr>
      <w:r>
        <w:rPr>
          <w:rFonts w:hint="eastAsia" w:ascii="仿宋" w:hAnsi="仿宋" w:eastAsia="仿宋"/>
          <w:sz w:val="32"/>
          <w:szCs w:val="32"/>
        </w:rPr>
        <w:t>第二条 开放</w:t>
      </w:r>
      <w:r>
        <w:rPr>
          <w:rFonts w:ascii="仿宋" w:hAnsi="仿宋" w:eastAsia="仿宋"/>
          <w:sz w:val="32"/>
          <w:szCs w:val="32"/>
        </w:rPr>
        <w:t>课题支持与实验室主攻方向相关的科学研究</w:t>
      </w:r>
      <w:r>
        <w:rPr>
          <w:rFonts w:hint="eastAsia" w:ascii="仿宋" w:hAnsi="仿宋" w:eastAsia="仿宋"/>
          <w:sz w:val="32"/>
          <w:szCs w:val="32"/>
        </w:rPr>
        <w:t>，围绕航空航天、半导体集成电路、新能源装备、海陆交通、高档数控机床等国家重点领域，开展高性能工具理论-材料-设计-制造-应用方面全链条创新研究，致力于解决高性能工具和产业发展的关键基础共性技术以及加工前沿引领技术，并鼓励应用基础和交叉</w:t>
      </w:r>
      <w:bookmarkStart w:id="7" w:name="_GoBack"/>
      <w:bookmarkEnd w:id="7"/>
      <w:r>
        <w:rPr>
          <w:rFonts w:hint="eastAsia" w:ascii="仿宋" w:hAnsi="仿宋" w:eastAsia="仿宋"/>
          <w:sz w:val="32"/>
          <w:szCs w:val="32"/>
        </w:rPr>
        <w:t xml:space="preserve">学科研究。 </w:t>
      </w:r>
    </w:p>
    <w:p w14:paraId="5043D907">
      <w:pPr>
        <w:ind w:firstLine="640" w:firstLineChars="200"/>
        <w:rPr>
          <w:rFonts w:ascii="仿宋" w:hAnsi="仿宋" w:eastAsia="仿宋"/>
          <w:sz w:val="32"/>
          <w:szCs w:val="32"/>
        </w:rPr>
      </w:pPr>
      <w:r>
        <w:rPr>
          <w:rFonts w:hint="eastAsia" w:ascii="仿宋" w:hAnsi="仿宋" w:eastAsia="仿宋"/>
          <w:sz w:val="32"/>
          <w:szCs w:val="32"/>
        </w:rPr>
        <w:t>第三条 开放课题经费由实验室开放运行费支出，课题负责人单独核算，实行专款专用制度，以确保经费使用的透明度和规范性。</w:t>
      </w:r>
    </w:p>
    <w:p w14:paraId="55E9BFF4">
      <w:pPr>
        <w:jc w:val="center"/>
        <w:rPr>
          <w:rFonts w:ascii="仿宋" w:hAnsi="仿宋" w:eastAsia="仿宋"/>
          <w:b/>
          <w:bCs/>
          <w:sz w:val="32"/>
          <w:szCs w:val="32"/>
        </w:rPr>
      </w:pPr>
      <w:r>
        <w:rPr>
          <w:rFonts w:hint="eastAsia" w:ascii="仿宋" w:hAnsi="仿宋" w:eastAsia="仿宋"/>
          <w:b/>
          <w:bCs/>
          <w:sz w:val="32"/>
          <w:szCs w:val="32"/>
        </w:rPr>
        <w:t>第二章 开</w:t>
      </w:r>
      <w:r>
        <w:rPr>
          <w:rFonts w:hint="eastAsia" w:ascii="仿宋" w:hAnsi="仿宋" w:eastAsia="仿宋"/>
          <w:b/>
          <w:bCs/>
          <w:sz w:val="32"/>
          <w:szCs w:val="32"/>
          <w:lang w:val="en-US" w:eastAsia="zh-CN"/>
        </w:rPr>
        <w:t>放</w:t>
      </w:r>
      <w:r>
        <w:rPr>
          <w:rFonts w:hint="eastAsia" w:ascii="仿宋" w:hAnsi="仿宋" w:eastAsia="仿宋"/>
          <w:b/>
          <w:bCs/>
          <w:sz w:val="32"/>
          <w:szCs w:val="32"/>
        </w:rPr>
        <w:t>课题的发布与申请</w:t>
      </w:r>
    </w:p>
    <w:p w14:paraId="0375C863">
      <w:pPr>
        <w:ind w:firstLine="640" w:firstLineChars="200"/>
        <w:rPr>
          <w:rFonts w:ascii="仿宋" w:hAnsi="仿宋" w:eastAsia="仿宋"/>
          <w:sz w:val="32"/>
          <w:szCs w:val="32"/>
        </w:rPr>
      </w:pPr>
      <w:r>
        <w:rPr>
          <w:rFonts w:hint="eastAsia" w:ascii="仿宋" w:hAnsi="仿宋" w:eastAsia="仿宋"/>
          <w:sz w:val="32"/>
          <w:szCs w:val="32"/>
        </w:rPr>
        <w:t>第四条 开放课题包括两类：青年基金项目和重点项目。经费将以开放课题合同形式支付到申请人所在单位。研究期限一般为2年，如果确实需要进行持续较长时间的重大课题，可以分阶段申请。研究工作的时间从批准之日起算。每年实验室会根据经费预算设置开放课题，具体信息请参见当年的申请指南。</w:t>
      </w:r>
    </w:p>
    <w:p w14:paraId="58954226">
      <w:pPr>
        <w:ind w:firstLine="640" w:firstLineChars="200"/>
        <w:rPr>
          <w:rFonts w:ascii="仿宋" w:hAnsi="仿宋" w:eastAsia="仿宋"/>
          <w:sz w:val="32"/>
          <w:szCs w:val="32"/>
        </w:rPr>
      </w:pPr>
      <w:r>
        <w:rPr>
          <w:rFonts w:hint="eastAsia" w:ascii="仿宋" w:hAnsi="仿宋" w:eastAsia="仿宋"/>
          <w:sz w:val="32"/>
          <w:szCs w:val="32"/>
        </w:rPr>
        <w:t>第五条 开放课题申请指南在实验室网站和公众号、郑州磨料磨具磨削研究所有限公司网站和公众号上统一公布。指南每年发布一次。</w:t>
      </w:r>
    </w:p>
    <w:p w14:paraId="711790E1">
      <w:pPr>
        <w:ind w:firstLine="640" w:firstLineChars="200"/>
        <w:rPr>
          <w:rFonts w:ascii="仿宋" w:hAnsi="仿宋" w:eastAsia="仿宋"/>
          <w:sz w:val="32"/>
          <w:szCs w:val="32"/>
        </w:rPr>
      </w:pPr>
      <w:r>
        <w:rPr>
          <w:rFonts w:hint="eastAsia" w:ascii="仿宋" w:hAnsi="仿宋" w:eastAsia="仿宋"/>
          <w:sz w:val="32"/>
          <w:szCs w:val="32"/>
        </w:rPr>
        <w:t>第六条 凡具有相关领域技术积累的国内外科研人员均可根据申请指南向实验室提出课题申请。申请的课题必须符合申请指南所规定的研究内容范围。申请课题者必须是课题实际主持人，一般应具有高级专业技术职称或博士学位。</w:t>
      </w:r>
    </w:p>
    <w:p w14:paraId="12A14757">
      <w:pPr>
        <w:ind w:firstLine="640" w:firstLineChars="200"/>
        <w:rPr>
          <w:rFonts w:ascii="仿宋" w:hAnsi="仿宋" w:eastAsia="仿宋"/>
          <w:sz w:val="32"/>
          <w:szCs w:val="32"/>
        </w:rPr>
      </w:pPr>
      <w:r>
        <w:rPr>
          <w:rFonts w:hint="eastAsia" w:ascii="仿宋" w:hAnsi="仿宋" w:eastAsia="仿宋"/>
          <w:sz w:val="32"/>
          <w:szCs w:val="32"/>
        </w:rPr>
        <w:t xml:space="preserve">第七条 </w:t>
      </w:r>
      <w:r>
        <w:rPr>
          <w:rFonts w:ascii="仿宋" w:hAnsi="仿宋" w:eastAsia="仿宋"/>
          <w:sz w:val="32"/>
          <w:szCs w:val="32"/>
        </w:rPr>
        <w:t>申请人需根据开放课题指南</w:t>
      </w:r>
      <w:r>
        <w:rPr>
          <w:rFonts w:hint="eastAsia" w:ascii="仿宋" w:hAnsi="仿宋" w:eastAsia="仿宋"/>
          <w:sz w:val="32"/>
          <w:szCs w:val="32"/>
        </w:rPr>
        <w:t>要求</w:t>
      </w:r>
      <w:r>
        <w:rPr>
          <w:rFonts w:ascii="仿宋" w:hAnsi="仿宋" w:eastAsia="仿宋"/>
          <w:sz w:val="32"/>
          <w:szCs w:val="32"/>
        </w:rPr>
        <w:t>在规定时间内提交</w:t>
      </w:r>
      <w:bookmarkStart w:id="1" w:name="OLE_LINK7"/>
      <w:r>
        <w:rPr>
          <w:rFonts w:hint="eastAsia" w:ascii="仿宋" w:hAnsi="仿宋" w:eastAsia="仿宋"/>
          <w:sz w:val="32"/>
          <w:szCs w:val="32"/>
        </w:rPr>
        <w:t>《高性能工具全国重点实验室开放课题申请及任务书》</w:t>
      </w:r>
      <w:bookmarkEnd w:id="1"/>
      <w:r>
        <w:rPr>
          <w:rFonts w:ascii="仿宋" w:hAnsi="仿宋" w:eastAsia="仿宋"/>
          <w:sz w:val="32"/>
          <w:szCs w:val="32"/>
        </w:rPr>
        <w:t>，</w:t>
      </w:r>
      <w:r>
        <w:rPr>
          <w:rFonts w:hint="eastAsia" w:ascii="仿宋" w:hAnsi="仿宋" w:eastAsia="仿宋"/>
          <w:sz w:val="32"/>
          <w:szCs w:val="32"/>
        </w:rPr>
        <w:t>所填内容必须实事求是。</w:t>
      </w:r>
    </w:p>
    <w:p w14:paraId="0B545807">
      <w:pPr>
        <w:ind w:firstLine="640" w:firstLineChars="200"/>
        <w:rPr>
          <w:rFonts w:ascii="仿宋" w:hAnsi="仿宋" w:eastAsia="仿宋"/>
          <w:sz w:val="32"/>
          <w:szCs w:val="32"/>
        </w:rPr>
      </w:pPr>
      <w:r>
        <w:rPr>
          <w:rFonts w:hint="eastAsia" w:ascii="仿宋" w:hAnsi="仿宋" w:eastAsia="仿宋"/>
          <w:sz w:val="32"/>
          <w:szCs w:val="32"/>
        </w:rPr>
        <w:t>第八条 实验室也接受国内外科研人员自带课题和经费，利用本实验室的设备仪器开展研究工作。</w:t>
      </w:r>
    </w:p>
    <w:p w14:paraId="3DC1BE3D">
      <w:pPr>
        <w:ind w:firstLine="640" w:firstLineChars="200"/>
        <w:rPr>
          <w:rFonts w:ascii="仿宋" w:hAnsi="仿宋" w:eastAsia="仿宋"/>
          <w:sz w:val="32"/>
          <w:szCs w:val="32"/>
        </w:rPr>
      </w:pPr>
      <w:r>
        <w:rPr>
          <w:rFonts w:hint="eastAsia" w:ascii="仿宋" w:hAnsi="仿宋" w:eastAsia="仿宋"/>
          <w:sz w:val="32"/>
          <w:szCs w:val="32"/>
        </w:rPr>
        <w:t>第九条 在读研究生、正在承担本实验室开放课题但未结题人员不得作为负责人提出申请，但可以作为项目组人员参加研究工作。</w:t>
      </w:r>
    </w:p>
    <w:p w14:paraId="4CABFEC1">
      <w:pPr>
        <w:jc w:val="center"/>
        <w:rPr>
          <w:rFonts w:ascii="仿宋" w:hAnsi="仿宋" w:eastAsia="仿宋"/>
          <w:b/>
          <w:bCs/>
          <w:sz w:val="32"/>
          <w:szCs w:val="32"/>
        </w:rPr>
      </w:pPr>
      <w:r>
        <w:rPr>
          <w:rFonts w:hint="eastAsia" w:ascii="仿宋" w:hAnsi="仿宋" w:eastAsia="仿宋"/>
          <w:b/>
          <w:bCs/>
          <w:sz w:val="32"/>
          <w:szCs w:val="32"/>
        </w:rPr>
        <w:t>第三章 开</w:t>
      </w:r>
      <w:r>
        <w:rPr>
          <w:rFonts w:hint="eastAsia" w:ascii="仿宋" w:hAnsi="仿宋" w:eastAsia="仿宋"/>
          <w:b/>
          <w:bCs/>
          <w:sz w:val="32"/>
          <w:szCs w:val="32"/>
          <w:lang w:val="en-US" w:eastAsia="zh-CN"/>
        </w:rPr>
        <w:t>放</w:t>
      </w:r>
      <w:r>
        <w:rPr>
          <w:rFonts w:hint="eastAsia" w:ascii="仿宋" w:hAnsi="仿宋" w:eastAsia="仿宋"/>
          <w:b/>
          <w:bCs/>
          <w:sz w:val="32"/>
          <w:szCs w:val="32"/>
        </w:rPr>
        <w:t>课题的审批与立项</w:t>
      </w:r>
    </w:p>
    <w:p w14:paraId="7D590EB9">
      <w:pPr>
        <w:ind w:firstLine="640" w:firstLineChars="200"/>
        <w:rPr>
          <w:rFonts w:ascii="仿宋" w:hAnsi="仿宋" w:eastAsia="仿宋"/>
          <w:sz w:val="32"/>
          <w:szCs w:val="32"/>
        </w:rPr>
      </w:pPr>
      <w:r>
        <w:rPr>
          <w:rFonts w:hint="eastAsia" w:ascii="仿宋" w:hAnsi="仿宋" w:eastAsia="仿宋"/>
          <w:sz w:val="32"/>
          <w:szCs w:val="32"/>
        </w:rPr>
        <w:t>第十条 实验室办公室组织对提交的课题申请进行形式审查和初审。</w:t>
      </w:r>
    </w:p>
    <w:p w14:paraId="5C96BC87">
      <w:pPr>
        <w:ind w:firstLine="640" w:firstLineChars="200"/>
        <w:rPr>
          <w:rFonts w:ascii="仿宋" w:hAnsi="仿宋" w:eastAsia="仿宋"/>
          <w:sz w:val="32"/>
          <w:szCs w:val="32"/>
        </w:rPr>
      </w:pPr>
      <w:r>
        <w:rPr>
          <w:rFonts w:hint="eastAsia" w:ascii="仿宋" w:hAnsi="仿宋" w:eastAsia="仿宋"/>
          <w:sz w:val="32"/>
          <w:szCs w:val="32"/>
        </w:rPr>
        <w:t>形式审查和初审有以下情况之一者不予资助：</w:t>
      </w:r>
    </w:p>
    <w:p w14:paraId="1DCB617C">
      <w:pPr>
        <w:ind w:firstLine="640" w:firstLineChars="200"/>
        <w:rPr>
          <w:rFonts w:ascii="仿宋" w:hAnsi="仿宋" w:eastAsia="仿宋"/>
          <w:sz w:val="32"/>
          <w:szCs w:val="32"/>
        </w:rPr>
      </w:pPr>
      <w:r>
        <w:rPr>
          <w:rFonts w:hint="eastAsia" w:ascii="仿宋" w:hAnsi="仿宋" w:eastAsia="仿宋"/>
          <w:sz w:val="32"/>
          <w:szCs w:val="32"/>
        </w:rPr>
        <w:t>（1）申请书填写不符合填报规定；</w:t>
      </w:r>
    </w:p>
    <w:p w14:paraId="1E678EBE">
      <w:pPr>
        <w:ind w:firstLine="640" w:firstLineChars="200"/>
        <w:rPr>
          <w:rFonts w:ascii="仿宋" w:hAnsi="仿宋" w:eastAsia="仿宋"/>
          <w:sz w:val="32"/>
          <w:szCs w:val="32"/>
        </w:rPr>
      </w:pPr>
      <w:r>
        <w:rPr>
          <w:rFonts w:hint="eastAsia" w:ascii="仿宋" w:hAnsi="仿宋" w:eastAsia="仿宋"/>
          <w:sz w:val="32"/>
          <w:szCs w:val="32"/>
        </w:rPr>
        <w:t>（2）申报题目不符合资助范围；</w:t>
      </w:r>
    </w:p>
    <w:p w14:paraId="05DBC773">
      <w:pPr>
        <w:ind w:firstLine="640" w:firstLineChars="200"/>
        <w:rPr>
          <w:rFonts w:ascii="仿宋" w:hAnsi="仿宋" w:eastAsia="仿宋"/>
          <w:sz w:val="32"/>
          <w:szCs w:val="32"/>
        </w:rPr>
      </w:pPr>
      <w:r>
        <w:rPr>
          <w:rFonts w:hint="eastAsia" w:ascii="仿宋" w:hAnsi="仿宋" w:eastAsia="仿宋"/>
          <w:sz w:val="32"/>
          <w:szCs w:val="32"/>
        </w:rPr>
        <w:t>（3）申报课题明显缺乏理论根据，研究方法、技术路线不清，无法进行评审；</w:t>
      </w:r>
    </w:p>
    <w:p w14:paraId="5B7F31A3">
      <w:pPr>
        <w:ind w:firstLine="640" w:firstLineChars="200"/>
        <w:rPr>
          <w:rFonts w:ascii="仿宋" w:hAnsi="仿宋" w:eastAsia="仿宋"/>
          <w:sz w:val="32"/>
          <w:szCs w:val="32"/>
        </w:rPr>
      </w:pPr>
      <w:r>
        <w:rPr>
          <w:rFonts w:hint="eastAsia" w:ascii="仿宋" w:hAnsi="仿宋" w:eastAsia="仿宋"/>
          <w:sz w:val="32"/>
          <w:szCs w:val="32"/>
        </w:rPr>
        <w:t>（4）申请者或项目组主要成员在本实验室的申请项数，连同在研资助课题数超过两项；</w:t>
      </w:r>
    </w:p>
    <w:p w14:paraId="39A01029">
      <w:pPr>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5</w:t>
      </w:r>
      <w:r>
        <w:rPr>
          <w:rFonts w:hint="eastAsia" w:ascii="仿宋" w:hAnsi="仿宋" w:eastAsia="仿宋"/>
          <w:sz w:val="32"/>
          <w:szCs w:val="32"/>
        </w:rPr>
        <w:t>）已有同类研究或低水平重复；</w:t>
      </w:r>
    </w:p>
    <w:p w14:paraId="4C98B57B">
      <w:pPr>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6</w:t>
      </w:r>
      <w:r>
        <w:rPr>
          <w:rFonts w:hint="eastAsia" w:ascii="仿宋" w:hAnsi="仿宋" w:eastAsia="仿宋"/>
          <w:sz w:val="32"/>
          <w:szCs w:val="32"/>
        </w:rPr>
        <w:t>）申请人不具备实施该课题的研究能力或缺乏基本的研究条件；</w:t>
      </w:r>
    </w:p>
    <w:p w14:paraId="19771F8E">
      <w:pPr>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申请</w:t>
      </w:r>
      <w:r>
        <w:rPr>
          <w:rFonts w:hint="eastAsia" w:ascii="仿宋" w:hAnsi="仿宋" w:eastAsia="仿宋"/>
          <w:sz w:val="32"/>
          <w:szCs w:val="32"/>
        </w:rPr>
        <w:t>人</w:t>
      </w:r>
      <w:r>
        <w:rPr>
          <w:rFonts w:ascii="仿宋" w:hAnsi="仿宋" w:eastAsia="仿宋"/>
          <w:sz w:val="32"/>
          <w:szCs w:val="32"/>
        </w:rPr>
        <w:t>对已获资助项目不执行开放</w:t>
      </w:r>
      <w:r>
        <w:rPr>
          <w:rFonts w:hint="eastAsia" w:ascii="仿宋" w:hAnsi="仿宋" w:eastAsia="仿宋"/>
          <w:sz w:val="32"/>
          <w:szCs w:val="32"/>
        </w:rPr>
        <w:t>课题</w:t>
      </w:r>
      <w:r>
        <w:rPr>
          <w:rFonts w:ascii="仿宋" w:hAnsi="仿宋" w:eastAsia="仿宋"/>
          <w:sz w:val="32"/>
          <w:szCs w:val="32"/>
        </w:rPr>
        <w:t>管理的有关规定，且未按要求</w:t>
      </w:r>
      <w:r>
        <w:rPr>
          <w:rFonts w:hint="eastAsia" w:ascii="仿宋" w:hAnsi="仿宋" w:eastAsia="仿宋"/>
          <w:sz w:val="32"/>
          <w:szCs w:val="32"/>
        </w:rPr>
        <w:t>改</w:t>
      </w:r>
      <w:r>
        <w:rPr>
          <w:rFonts w:ascii="仿宋" w:hAnsi="仿宋" w:eastAsia="仿宋"/>
          <w:sz w:val="32"/>
          <w:szCs w:val="32"/>
        </w:rPr>
        <w:t>正的，或不认真开展研究工作，未发表论文或未取得研究成果</w:t>
      </w:r>
      <w:r>
        <w:rPr>
          <w:rFonts w:hint="eastAsia" w:ascii="仿宋" w:hAnsi="仿宋" w:eastAsia="仿宋"/>
          <w:sz w:val="32"/>
          <w:szCs w:val="32"/>
        </w:rPr>
        <w:t>者</w:t>
      </w:r>
      <w:r>
        <w:rPr>
          <w:rFonts w:ascii="仿宋" w:hAnsi="仿宋" w:eastAsia="仿宋"/>
          <w:sz w:val="32"/>
          <w:szCs w:val="32"/>
        </w:rPr>
        <w:t>。</w:t>
      </w:r>
    </w:p>
    <w:p w14:paraId="0A024555">
      <w:pPr>
        <w:ind w:firstLine="640" w:firstLineChars="200"/>
        <w:rPr>
          <w:rFonts w:ascii="仿宋" w:hAnsi="仿宋" w:eastAsia="仿宋"/>
          <w:sz w:val="32"/>
          <w:szCs w:val="32"/>
        </w:rPr>
      </w:pPr>
      <w:r>
        <w:rPr>
          <w:rFonts w:hint="eastAsia" w:ascii="仿宋" w:hAnsi="仿宋" w:eastAsia="仿宋"/>
          <w:sz w:val="32"/>
          <w:szCs w:val="32"/>
        </w:rPr>
        <w:t>第十一条 实验室组织学术委员会或专家组或书面通讯评议方式对申请项目进行评审，建议资助课题及资助额度。实验室主任办公会根据评审结果统一调整，择优批准。</w:t>
      </w:r>
    </w:p>
    <w:p w14:paraId="6BDD0E65">
      <w:pPr>
        <w:ind w:firstLine="640" w:firstLineChars="200"/>
        <w:rPr>
          <w:rFonts w:ascii="仿宋" w:hAnsi="仿宋" w:eastAsia="仿宋"/>
          <w:sz w:val="32"/>
          <w:szCs w:val="32"/>
        </w:rPr>
      </w:pPr>
      <w:r>
        <w:rPr>
          <w:rFonts w:hint="eastAsia" w:ascii="仿宋" w:hAnsi="仿宋" w:eastAsia="仿宋"/>
          <w:sz w:val="32"/>
          <w:szCs w:val="32"/>
        </w:rPr>
        <w:t>第十二条 根据评审结果，实验室主任将签发立项批准书，并通知申请者及其所在单位。</w:t>
      </w:r>
    </w:p>
    <w:p w14:paraId="400736D5">
      <w:pPr>
        <w:jc w:val="center"/>
        <w:rPr>
          <w:rFonts w:ascii="仿宋" w:hAnsi="仿宋" w:eastAsia="仿宋"/>
          <w:sz w:val="32"/>
          <w:szCs w:val="32"/>
        </w:rPr>
      </w:pPr>
      <w:r>
        <w:rPr>
          <w:rFonts w:hint="eastAsia" w:ascii="仿宋" w:hAnsi="仿宋" w:eastAsia="仿宋"/>
          <w:b/>
          <w:bCs/>
          <w:sz w:val="32"/>
          <w:szCs w:val="32"/>
        </w:rPr>
        <w:t>第四章 开放课题的运行管理</w:t>
      </w:r>
    </w:p>
    <w:p w14:paraId="6FCF5594">
      <w:pPr>
        <w:ind w:firstLine="640" w:firstLineChars="200"/>
        <w:rPr>
          <w:rFonts w:ascii="仿宋" w:hAnsi="仿宋" w:eastAsia="仿宋"/>
          <w:sz w:val="32"/>
          <w:szCs w:val="32"/>
        </w:rPr>
      </w:pPr>
      <w:r>
        <w:rPr>
          <w:rFonts w:hint="eastAsia" w:ascii="仿宋" w:hAnsi="仿宋" w:eastAsia="仿宋"/>
          <w:sz w:val="32"/>
          <w:szCs w:val="32"/>
        </w:rPr>
        <w:t>第十三条 申请者接到立项批准通知后，应于30个工作日内与实验室签订课题合同书，并接受申请者为实验室流动研究人员。无正当理由逾期未签订合同者视为自动放弃接受资助。</w:t>
      </w:r>
    </w:p>
    <w:p w14:paraId="0013048F">
      <w:pPr>
        <w:ind w:firstLine="640" w:firstLineChars="200"/>
        <w:rPr>
          <w:rFonts w:ascii="仿宋" w:hAnsi="仿宋" w:eastAsia="仿宋"/>
          <w:sz w:val="32"/>
          <w:szCs w:val="32"/>
        </w:rPr>
      </w:pPr>
      <w:r>
        <w:rPr>
          <w:rFonts w:hint="eastAsia" w:ascii="仿宋" w:hAnsi="仿宋" w:eastAsia="仿宋"/>
          <w:sz w:val="32"/>
          <w:szCs w:val="32"/>
        </w:rPr>
        <w:t>第十四条 实验室指派专门人员来管理开放课题，课题负责人组织课题组按照计划进行研究工作。课题负责人在课题执行期间至少到实验室进行一次学术报告。</w:t>
      </w:r>
    </w:p>
    <w:p w14:paraId="74A283BD">
      <w:pPr>
        <w:ind w:firstLine="640" w:firstLineChars="200"/>
        <w:rPr>
          <w:rFonts w:ascii="仿宋" w:hAnsi="仿宋" w:eastAsia="仿宋"/>
          <w:sz w:val="32"/>
          <w:szCs w:val="32"/>
        </w:rPr>
      </w:pPr>
      <w:r>
        <w:rPr>
          <w:rFonts w:hint="eastAsia" w:ascii="仿宋" w:hAnsi="仿宋" w:eastAsia="仿宋"/>
          <w:sz w:val="32"/>
          <w:szCs w:val="32"/>
        </w:rPr>
        <w:t>第十五条 在课题实施过程中，如果需要改变预定研究目标、研究内容和计划等，或者需要提前结题或延长期限，课题负责人必须提前三个月提出报告，报实验室审批</w:t>
      </w:r>
      <w:r>
        <w:rPr>
          <w:rFonts w:ascii="仿宋" w:hAnsi="仿宋" w:eastAsia="仿宋"/>
          <w:sz w:val="32"/>
          <w:szCs w:val="32"/>
        </w:rPr>
        <w:t>。</w:t>
      </w:r>
    </w:p>
    <w:p w14:paraId="19A4E6CB">
      <w:pPr>
        <w:ind w:firstLine="640" w:firstLineChars="200"/>
        <w:rPr>
          <w:rFonts w:ascii="仿宋" w:hAnsi="仿宋" w:eastAsia="仿宋"/>
          <w:sz w:val="32"/>
          <w:szCs w:val="32"/>
        </w:rPr>
      </w:pPr>
      <w:r>
        <w:rPr>
          <w:rFonts w:hint="eastAsia" w:ascii="仿宋" w:hAnsi="仿宋" w:eastAsia="仿宋"/>
          <w:sz w:val="32"/>
          <w:szCs w:val="32"/>
        </w:rPr>
        <w:t>第十六条 一般情况下，课题负责人不得代理或更换。如果</w:t>
      </w:r>
      <w:r>
        <w:rPr>
          <w:rFonts w:ascii="仿宋" w:hAnsi="仿宋" w:eastAsia="仿宋"/>
          <w:sz w:val="32"/>
          <w:szCs w:val="32"/>
        </w:rPr>
        <w:t>遇有特殊情况，所在单位应安排合适代理人，并报实验室备案。</w:t>
      </w:r>
      <w:r>
        <w:rPr>
          <w:rFonts w:hint="eastAsia" w:ascii="仿宋" w:hAnsi="仿宋" w:eastAsia="仿宋"/>
          <w:sz w:val="32"/>
          <w:szCs w:val="32"/>
        </w:rPr>
        <w:t>如果课题负责人</w:t>
      </w:r>
      <w:r>
        <w:rPr>
          <w:rFonts w:ascii="仿宋" w:hAnsi="仿宋" w:eastAsia="仿宋"/>
          <w:sz w:val="32"/>
          <w:szCs w:val="32"/>
        </w:rPr>
        <w:t>工作调动，可依据具体情况选择在原单位或调入单位完成</w:t>
      </w:r>
      <w:r>
        <w:rPr>
          <w:rFonts w:hint="eastAsia" w:ascii="仿宋" w:hAnsi="仿宋" w:eastAsia="仿宋"/>
          <w:sz w:val="32"/>
          <w:szCs w:val="32"/>
        </w:rPr>
        <w:t>课题</w:t>
      </w:r>
      <w:r>
        <w:rPr>
          <w:rFonts w:ascii="仿宋" w:hAnsi="仿宋" w:eastAsia="仿宋"/>
          <w:sz w:val="32"/>
          <w:szCs w:val="32"/>
        </w:rPr>
        <w:t>项目</w:t>
      </w:r>
      <w:r>
        <w:rPr>
          <w:rFonts w:hint="eastAsia" w:ascii="仿宋" w:hAnsi="仿宋" w:eastAsia="仿宋"/>
          <w:sz w:val="32"/>
          <w:szCs w:val="32"/>
        </w:rPr>
        <w:t>。</w:t>
      </w:r>
      <w:r>
        <w:rPr>
          <w:rFonts w:ascii="仿宋" w:hAnsi="仿宋" w:eastAsia="仿宋"/>
          <w:sz w:val="32"/>
          <w:szCs w:val="32"/>
        </w:rPr>
        <w:t>但须调入、调离双方及实验室签署意见，并报实验室审批备案。</w:t>
      </w:r>
    </w:p>
    <w:p w14:paraId="55FC7828">
      <w:pPr>
        <w:ind w:firstLine="640" w:firstLineChars="200"/>
        <w:rPr>
          <w:rFonts w:ascii="仿宋" w:hAnsi="仿宋" w:eastAsia="仿宋"/>
          <w:sz w:val="32"/>
          <w:szCs w:val="32"/>
        </w:rPr>
      </w:pPr>
      <w:r>
        <w:rPr>
          <w:rFonts w:hint="eastAsia" w:ascii="仿宋" w:hAnsi="仿宋" w:eastAsia="仿宋"/>
          <w:sz w:val="32"/>
          <w:szCs w:val="32"/>
        </w:rPr>
        <w:t>第十七条 课题负责人需要在每年的6月20日之前提供实验室要求的开放课题半年度进展材料，并在每年的12月20日之前提供实验室要求的开放课题年度进展材料。报告内容应该包括研究进展、发表论文、申报专利、应用推广、成果获奖等情况。未能提交进展报告或报告不符合审核标准的项目，以及在验收考核中不合作、项目停滞或资金使用违规的项目，将延迟拨付后续经费。若在规定时间内未纠正或补充提交，资助将被暂停。</w:t>
      </w:r>
    </w:p>
    <w:p w14:paraId="5EA54714">
      <w:pPr>
        <w:ind w:firstLine="640" w:firstLineChars="200"/>
        <w:rPr>
          <w:rFonts w:ascii="仿宋" w:hAnsi="仿宋" w:eastAsia="仿宋"/>
          <w:sz w:val="32"/>
          <w:szCs w:val="32"/>
        </w:rPr>
      </w:pPr>
      <w:r>
        <w:rPr>
          <w:rFonts w:hint="eastAsia" w:ascii="仿宋" w:hAnsi="仿宋" w:eastAsia="仿宋"/>
          <w:sz w:val="32"/>
          <w:szCs w:val="32"/>
        </w:rPr>
        <w:t>第十八条 开放课题研究工作完成后，负责人需要在三个月内向实验室提出验收申请。实验室将按照申请书和课题合同书组织验收。</w:t>
      </w:r>
    </w:p>
    <w:p w14:paraId="291DE102">
      <w:pPr>
        <w:ind w:firstLine="640" w:firstLineChars="200"/>
        <w:rPr>
          <w:rFonts w:ascii="仿宋" w:hAnsi="仿宋" w:eastAsia="仿宋"/>
          <w:sz w:val="32"/>
          <w:szCs w:val="32"/>
          <w:highlight w:val="yellow"/>
        </w:rPr>
      </w:pPr>
      <w:r>
        <w:rPr>
          <w:rFonts w:hint="eastAsia" w:ascii="仿宋" w:hAnsi="仿宋" w:eastAsia="仿宋"/>
          <w:sz w:val="32"/>
          <w:szCs w:val="32"/>
        </w:rPr>
        <w:t xml:space="preserve">第十九条 </w:t>
      </w:r>
      <w:bookmarkStart w:id="2" w:name="OLE_LINK9"/>
      <w:r>
        <w:rPr>
          <w:rFonts w:hint="eastAsia" w:ascii="仿宋" w:hAnsi="仿宋" w:eastAsia="仿宋"/>
          <w:sz w:val="32"/>
          <w:szCs w:val="32"/>
        </w:rPr>
        <w:t>开放课题结题时，至少需要发表1篇被五大检索（SCI、EI、</w:t>
      </w:r>
      <w:bookmarkStart w:id="3" w:name="OLE_LINK6"/>
      <w:r>
        <w:rPr>
          <w:rFonts w:hint="eastAsia" w:ascii="仿宋" w:hAnsi="仿宋" w:eastAsia="仿宋"/>
          <w:sz w:val="32"/>
          <w:szCs w:val="32"/>
        </w:rPr>
        <w:t>CA</w:t>
      </w:r>
      <w:bookmarkEnd w:id="3"/>
      <w:r>
        <w:rPr>
          <w:rFonts w:hint="eastAsia" w:ascii="仿宋" w:hAnsi="仿宋" w:eastAsia="仿宋"/>
          <w:sz w:val="32"/>
          <w:szCs w:val="32"/>
        </w:rPr>
        <w:t>、ISTP、ISR）收录的论文，实验室为第一完成单位，合作的实验室固定人员为通讯作者（含共同通讯作者），其他具体要求以开放课题合同的约定为准。</w:t>
      </w:r>
      <w:bookmarkEnd w:id="2"/>
    </w:p>
    <w:p w14:paraId="1B464E4E">
      <w:pPr>
        <w:jc w:val="center"/>
        <w:rPr>
          <w:rFonts w:ascii="仿宋" w:hAnsi="仿宋" w:eastAsia="仿宋"/>
          <w:b/>
          <w:bCs/>
          <w:sz w:val="32"/>
          <w:szCs w:val="32"/>
        </w:rPr>
      </w:pPr>
      <w:r>
        <w:rPr>
          <w:rFonts w:hint="eastAsia" w:ascii="仿宋" w:hAnsi="仿宋" w:eastAsia="仿宋"/>
          <w:b/>
          <w:bCs/>
          <w:sz w:val="32"/>
          <w:szCs w:val="32"/>
        </w:rPr>
        <w:t>第五章 开放课题的成果管理</w:t>
      </w:r>
    </w:p>
    <w:p w14:paraId="7336D755">
      <w:pPr>
        <w:ind w:firstLine="640" w:firstLineChars="200"/>
        <w:rPr>
          <w:rFonts w:ascii="仿宋" w:hAnsi="仿宋" w:eastAsia="仿宋"/>
          <w:sz w:val="32"/>
          <w:szCs w:val="32"/>
        </w:rPr>
      </w:pPr>
      <w:r>
        <w:rPr>
          <w:rFonts w:hint="eastAsia" w:ascii="仿宋" w:hAnsi="仿宋" w:eastAsia="仿宋"/>
          <w:sz w:val="32"/>
          <w:szCs w:val="32"/>
        </w:rPr>
        <w:t>第二十条 开放课题通过验收后，必须向实验室提交成果材料，其中包括但不限于以下内容：</w:t>
      </w:r>
    </w:p>
    <w:p w14:paraId="19EFBF48">
      <w:pPr>
        <w:ind w:firstLine="640" w:firstLineChars="200"/>
        <w:rPr>
          <w:rFonts w:ascii="仿宋" w:hAnsi="仿宋" w:eastAsia="仿宋"/>
          <w:sz w:val="32"/>
          <w:szCs w:val="32"/>
        </w:rPr>
      </w:pPr>
      <w:r>
        <w:rPr>
          <w:rFonts w:hint="eastAsia" w:ascii="仿宋" w:hAnsi="仿宋" w:eastAsia="仿宋"/>
          <w:sz w:val="32"/>
          <w:szCs w:val="32"/>
        </w:rPr>
        <w:t>（1）研究工作总结及研究报告；</w:t>
      </w:r>
    </w:p>
    <w:p w14:paraId="1D89FA1C">
      <w:pPr>
        <w:ind w:firstLine="640" w:firstLineChars="200"/>
        <w:rPr>
          <w:rFonts w:ascii="仿宋" w:hAnsi="仿宋" w:eastAsia="仿宋"/>
          <w:sz w:val="32"/>
          <w:szCs w:val="32"/>
        </w:rPr>
      </w:pPr>
      <w:r>
        <w:rPr>
          <w:rFonts w:hint="eastAsia" w:ascii="仿宋" w:hAnsi="仿宋" w:eastAsia="仿宋"/>
          <w:sz w:val="32"/>
          <w:szCs w:val="32"/>
        </w:rPr>
        <w:t>（2）已发表学术论文和计划发表学术论文列表、论文期刊原件及复印件；</w:t>
      </w:r>
    </w:p>
    <w:p w14:paraId="514CCC8D">
      <w:pPr>
        <w:ind w:firstLine="640" w:firstLineChars="200"/>
        <w:rPr>
          <w:rFonts w:ascii="仿宋" w:hAnsi="仿宋" w:eastAsia="仿宋"/>
          <w:sz w:val="32"/>
          <w:szCs w:val="32"/>
        </w:rPr>
      </w:pPr>
      <w:r>
        <w:rPr>
          <w:rFonts w:hint="eastAsia" w:ascii="仿宋" w:hAnsi="仿宋" w:eastAsia="仿宋"/>
          <w:sz w:val="32"/>
          <w:szCs w:val="32"/>
        </w:rPr>
        <w:t>（3）专利与获奖成果证书复印件；</w:t>
      </w:r>
    </w:p>
    <w:p w14:paraId="0A5028E6">
      <w:pPr>
        <w:ind w:firstLine="640" w:firstLineChars="200"/>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研究工作中的原始技术档案、数据记录、图纸、软件、程序等和目录清单。</w:t>
      </w:r>
    </w:p>
    <w:p w14:paraId="5321B5A1">
      <w:pPr>
        <w:ind w:firstLine="640" w:firstLineChars="200"/>
        <w:rPr>
          <w:rFonts w:ascii="仿宋" w:hAnsi="仿宋" w:eastAsia="仿宋"/>
          <w:sz w:val="32"/>
          <w:szCs w:val="32"/>
          <w:highlight w:val="yellow"/>
        </w:rPr>
      </w:pPr>
      <w:r>
        <w:rPr>
          <w:rFonts w:hint="eastAsia" w:ascii="仿宋" w:hAnsi="仿宋" w:eastAsia="仿宋"/>
          <w:sz w:val="32"/>
          <w:szCs w:val="32"/>
        </w:rPr>
        <w:t>第二十一条 开放课题的成果归实验室和研究人员所在单位共有，成果报奖、项目申报等需经实验室同意。在申请专利、软著、发表论文和参加国内外学术会议时，</w:t>
      </w:r>
      <w:bookmarkStart w:id="4" w:name="OLE_LINK8"/>
      <w:bookmarkStart w:id="5" w:name="OLE_LINK23"/>
      <w:r>
        <w:rPr>
          <w:rFonts w:hint="eastAsia" w:ascii="仿宋" w:hAnsi="仿宋" w:eastAsia="仿宋"/>
          <w:sz w:val="32"/>
          <w:szCs w:val="32"/>
        </w:rPr>
        <w:t>第一单位署名“高性能工具全国重点实验室（</w:t>
      </w:r>
      <w:r>
        <w:rPr>
          <w:rFonts w:ascii="仿宋" w:hAnsi="仿宋" w:eastAsia="仿宋"/>
          <w:sz w:val="32"/>
          <w:szCs w:val="32"/>
        </w:rPr>
        <w:t>S</w:t>
      </w:r>
      <w:r>
        <w:rPr>
          <w:rFonts w:hint="eastAsia" w:ascii="仿宋" w:hAnsi="仿宋" w:eastAsia="仿宋"/>
          <w:sz w:val="32"/>
          <w:szCs w:val="32"/>
        </w:rPr>
        <w:t>tate Key Laboratory of High Performance Tools）”</w:t>
      </w:r>
      <w:bookmarkEnd w:id="4"/>
      <w:r>
        <w:rPr>
          <w:rFonts w:hint="eastAsia" w:ascii="仿宋" w:hAnsi="仿宋" w:eastAsia="仿宋"/>
          <w:sz w:val="32"/>
          <w:szCs w:val="32"/>
        </w:rPr>
        <w:t>，并注明该成果为“高性能工具全国重点实验室开放课题研究基金资助（项目编号）”。</w:t>
      </w:r>
    </w:p>
    <w:bookmarkEnd w:id="5"/>
    <w:p w14:paraId="1A23EA6B">
      <w:pPr>
        <w:ind w:firstLine="640" w:firstLineChars="200"/>
        <w:rPr>
          <w:rFonts w:ascii="仿宋" w:hAnsi="仿宋" w:eastAsia="仿宋"/>
          <w:sz w:val="32"/>
          <w:szCs w:val="32"/>
        </w:rPr>
      </w:pPr>
      <w:r>
        <w:rPr>
          <w:rFonts w:hint="eastAsia" w:ascii="仿宋" w:hAnsi="仿宋" w:eastAsia="仿宋"/>
          <w:sz w:val="32"/>
          <w:szCs w:val="32"/>
        </w:rPr>
        <w:t>第二十二条 鼓励已获得实验室开放基金资助开展的研究项目继续申请更高层次的基金、科技攻关或其它重大项目。</w:t>
      </w:r>
    </w:p>
    <w:p w14:paraId="6EE4BF2B">
      <w:pPr>
        <w:ind w:firstLine="640" w:firstLineChars="200"/>
        <w:rPr>
          <w:rFonts w:ascii="仿宋" w:hAnsi="仿宋" w:eastAsia="仿宋"/>
          <w:sz w:val="32"/>
          <w:szCs w:val="32"/>
        </w:rPr>
      </w:pPr>
      <w:r>
        <w:rPr>
          <w:rFonts w:hint="eastAsia" w:ascii="仿宋" w:hAnsi="仿宋" w:eastAsia="仿宋"/>
          <w:sz w:val="32"/>
          <w:szCs w:val="32"/>
        </w:rPr>
        <w:t>第二十三条 课题组成员（含负责人）若在期满前满足结题条件，可申请提前结题。</w:t>
      </w:r>
    </w:p>
    <w:p w14:paraId="5886CC95">
      <w:pPr>
        <w:ind w:firstLine="640" w:firstLineChars="200"/>
        <w:rPr>
          <w:rFonts w:ascii="仿宋" w:hAnsi="仿宋" w:eastAsia="仿宋"/>
          <w:sz w:val="32"/>
          <w:szCs w:val="32"/>
        </w:rPr>
      </w:pPr>
      <w:r>
        <w:rPr>
          <w:rFonts w:hint="eastAsia" w:ascii="仿宋" w:hAnsi="仿宋" w:eastAsia="仿宋"/>
          <w:sz w:val="32"/>
          <w:szCs w:val="32"/>
        </w:rPr>
        <w:t>第二十四条</w:t>
      </w:r>
      <w:bookmarkStart w:id="6" w:name="OLE_LINK2"/>
      <w:r>
        <w:rPr>
          <w:rFonts w:hint="eastAsia" w:ascii="仿宋" w:hAnsi="仿宋" w:eastAsia="仿宋"/>
          <w:sz w:val="32"/>
          <w:szCs w:val="32"/>
        </w:rPr>
        <w:t xml:space="preserve"> 凡属自带课题和经费者，须在研究成果及论文中注明“本研究在高性能工具全国重点实验室完成”。</w:t>
      </w:r>
    </w:p>
    <w:p w14:paraId="466342A0">
      <w:pPr>
        <w:jc w:val="center"/>
        <w:rPr>
          <w:rFonts w:ascii="仿宋" w:hAnsi="仿宋" w:eastAsia="仿宋"/>
          <w:b/>
          <w:bCs/>
          <w:sz w:val="32"/>
          <w:szCs w:val="32"/>
        </w:rPr>
      </w:pPr>
      <w:r>
        <w:rPr>
          <w:rFonts w:hint="eastAsia" w:ascii="仿宋" w:hAnsi="仿宋" w:eastAsia="仿宋"/>
          <w:b/>
          <w:bCs/>
          <w:sz w:val="32"/>
          <w:szCs w:val="32"/>
        </w:rPr>
        <w:t>第六章 开放课题经费的使用与管</w:t>
      </w:r>
      <w:bookmarkEnd w:id="6"/>
      <w:r>
        <w:rPr>
          <w:rFonts w:hint="eastAsia" w:ascii="仿宋" w:hAnsi="仿宋" w:eastAsia="仿宋"/>
          <w:b/>
          <w:bCs/>
          <w:sz w:val="32"/>
          <w:szCs w:val="32"/>
        </w:rPr>
        <w:t>理</w:t>
      </w:r>
    </w:p>
    <w:p w14:paraId="68FFCD70">
      <w:pPr>
        <w:ind w:firstLine="640" w:firstLineChars="200"/>
        <w:rPr>
          <w:rFonts w:ascii="仿宋" w:hAnsi="仿宋" w:eastAsia="仿宋"/>
          <w:sz w:val="32"/>
          <w:szCs w:val="32"/>
        </w:rPr>
      </w:pPr>
      <w:r>
        <w:rPr>
          <w:rFonts w:hint="eastAsia" w:ascii="仿宋" w:hAnsi="仿宋" w:eastAsia="仿宋"/>
          <w:sz w:val="32"/>
          <w:szCs w:val="32"/>
        </w:rPr>
        <w:t>第二十五条 开放课题经费的管理严格按照国家科技部、财政部、实验室的有关财务规章制度执行，专款专用。</w:t>
      </w:r>
    </w:p>
    <w:p w14:paraId="38792F4F">
      <w:pPr>
        <w:ind w:firstLine="640" w:firstLineChars="200"/>
        <w:rPr>
          <w:rFonts w:ascii="仿宋" w:hAnsi="仿宋" w:eastAsia="仿宋"/>
          <w:sz w:val="32"/>
          <w:szCs w:val="32"/>
        </w:rPr>
      </w:pPr>
      <w:r>
        <w:rPr>
          <w:rFonts w:hint="eastAsia" w:ascii="仿宋" w:hAnsi="仿宋" w:eastAsia="仿宋"/>
          <w:sz w:val="32"/>
          <w:szCs w:val="32"/>
        </w:rPr>
        <w:t>第二十六条 开放课题经费仅限用于完成开放课题所必须的相关费用，具体包括：</w:t>
      </w:r>
    </w:p>
    <w:p w14:paraId="1C18B993">
      <w:pPr>
        <w:ind w:firstLine="640" w:firstLineChars="200"/>
        <w:rPr>
          <w:rFonts w:ascii="仿宋" w:hAnsi="仿宋" w:eastAsia="仿宋"/>
          <w:sz w:val="32"/>
          <w:szCs w:val="32"/>
        </w:rPr>
      </w:pPr>
      <w:r>
        <w:rPr>
          <w:rFonts w:ascii="仿宋" w:hAnsi="仿宋" w:eastAsia="仿宋"/>
          <w:sz w:val="32"/>
          <w:szCs w:val="32"/>
        </w:rPr>
        <w:t>（1）研究工作需要的材料费、小型配套设备购置费、测试费、加工费等；</w:t>
      </w:r>
    </w:p>
    <w:p w14:paraId="7B940800">
      <w:pPr>
        <w:ind w:firstLine="640" w:firstLineChars="200"/>
        <w:rPr>
          <w:rFonts w:ascii="仿宋" w:hAnsi="仿宋" w:eastAsia="仿宋"/>
          <w:sz w:val="32"/>
          <w:szCs w:val="32"/>
        </w:rPr>
      </w:pPr>
      <w:r>
        <w:rPr>
          <w:rFonts w:ascii="仿宋" w:hAnsi="仿宋" w:eastAsia="仿宋"/>
          <w:sz w:val="32"/>
          <w:szCs w:val="32"/>
        </w:rPr>
        <w:t>（2）调研、资料复印与学术交流费；</w:t>
      </w:r>
    </w:p>
    <w:p w14:paraId="7903F2C4">
      <w:pPr>
        <w:ind w:firstLine="640" w:firstLineChars="200"/>
        <w:rPr>
          <w:rFonts w:ascii="仿宋" w:hAnsi="仿宋" w:eastAsia="仿宋"/>
          <w:sz w:val="32"/>
          <w:szCs w:val="32"/>
        </w:rPr>
      </w:pPr>
      <w:r>
        <w:rPr>
          <w:rFonts w:ascii="仿宋" w:hAnsi="仿宋" w:eastAsia="仿宋"/>
          <w:sz w:val="32"/>
          <w:szCs w:val="32"/>
        </w:rPr>
        <w:t>（3）项目组成员来实验室工作期间符合国家有关规定的津贴、交通及住宿费用；</w:t>
      </w:r>
    </w:p>
    <w:p w14:paraId="27853254">
      <w:pPr>
        <w:ind w:firstLine="640" w:firstLineChars="200"/>
        <w:rPr>
          <w:rFonts w:ascii="仿宋" w:hAnsi="仿宋" w:eastAsia="仿宋"/>
          <w:sz w:val="32"/>
          <w:szCs w:val="32"/>
        </w:rPr>
      </w:pPr>
      <w:r>
        <w:rPr>
          <w:rFonts w:ascii="仿宋" w:hAnsi="仿宋" w:eastAsia="仿宋"/>
          <w:sz w:val="32"/>
          <w:szCs w:val="32"/>
        </w:rPr>
        <w:t>（4）在国内外学术刊物上发表的、与</w:t>
      </w:r>
      <w:r>
        <w:rPr>
          <w:rFonts w:hint="eastAsia" w:ascii="仿宋" w:hAnsi="仿宋" w:eastAsia="仿宋"/>
          <w:sz w:val="32"/>
          <w:szCs w:val="32"/>
        </w:rPr>
        <w:t>开放</w:t>
      </w:r>
      <w:r>
        <w:rPr>
          <w:rFonts w:ascii="仿宋" w:hAnsi="仿宋" w:eastAsia="仿宋"/>
          <w:sz w:val="32"/>
          <w:szCs w:val="32"/>
        </w:rPr>
        <w:t>课题有关的标注"</w:t>
      </w:r>
      <w:r>
        <w:rPr>
          <w:rFonts w:hint="eastAsia" w:ascii="仿宋" w:hAnsi="仿宋" w:eastAsia="仿宋"/>
          <w:sz w:val="32"/>
          <w:szCs w:val="32"/>
        </w:rPr>
        <w:t>高性能工具全国重点实验室</w:t>
      </w:r>
      <w:r>
        <w:rPr>
          <w:rFonts w:ascii="仿宋" w:hAnsi="仿宋" w:eastAsia="仿宋"/>
          <w:sz w:val="32"/>
          <w:szCs w:val="32"/>
        </w:rPr>
        <w:t>"的学术论文版面费</w:t>
      </w:r>
      <w:r>
        <w:rPr>
          <w:rFonts w:hint="eastAsia" w:ascii="仿宋" w:hAnsi="仿宋" w:eastAsia="仿宋"/>
          <w:sz w:val="32"/>
          <w:szCs w:val="32"/>
        </w:rPr>
        <w:t>；</w:t>
      </w:r>
    </w:p>
    <w:p w14:paraId="3BE8945C">
      <w:pPr>
        <w:ind w:firstLine="640" w:firstLineChars="200"/>
        <w:rPr>
          <w:rFonts w:ascii="仿宋" w:hAnsi="仿宋" w:eastAsia="仿宋"/>
          <w:sz w:val="32"/>
          <w:szCs w:val="32"/>
        </w:rPr>
      </w:pPr>
      <w:r>
        <w:rPr>
          <w:rFonts w:hint="eastAsia" w:ascii="仿宋" w:hAnsi="仿宋" w:eastAsia="仿宋"/>
          <w:sz w:val="32"/>
          <w:szCs w:val="32"/>
        </w:rPr>
        <w:t>（5）与开放课题有关的专利费用。</w:t>
      </w:r>
    </w:p>
    <w:p w14:paraId="64907113">
      <w:pPr>
        <w:ind w:firstLine="640" w:firstLineChars="200"/>
        <w:rPr>
          <w:rFonts w:ascii="仿宋" w:hAnsi="仿宋" w:eastAsia="仿宋"/>
          <w:sz w:val="32"/>
          <w:szCs w:val="32"/>
        </w:rPr>
      </w:pPr>
      <w:r>
        <w:rPr>
          <w:rFonts w:hint="eastAsia" w:ascii="仿宋" w:hAnsi="仿宋" w:eastAsia="仿宋"/>
          <w:sz w:val="32"/>
          <w:szCs w:val="32"/>
        </w:rPr>
        <w:t>第二十七条 资助经费实行一次核定，</w:t>
      </w:r>
      <w:r>
        <w:rPr>
          <w:rFonts w:ascii="仿宋" w:hAnsi="仿宋" w:eastAsia="仿宋"/>
          <w:sz w:val="32"/>
          <w:szCs w:val="32"/>
        </w:rPr>
        <w:t>分两笔拨付</w:t>
      </w:r>
      <w:r>
        <w:rPr>
          <w:rFonts w:hint="eastAsia" w:ascii="仿宋" w:hAnsi="仿宋" w:eastAsia="仿宋"/>
          <w:sz w:val="32"/>
          <w:szCs w:val="32"/>
        </w:rPr>
        <w:t>。</w:t>
      </w:r>
      <w:r>
        <w:rPr>
          <w:rFonts w:ascii="仿宋" w:hAnsi="仿宋" w:eastAsia="仿宋"/>
          <w:sz w:val="32"/>
          <w:szCs w:val="32"/>
        </w:rPr>
        <w:t>合同生效后拨付第一笔经费（50%）；考核通过后拨付第二笔经费（50%）</w:t>
      </w:r>
      <w:r>
        <w:rPr>
          <w:rFonts w:hint="eastAsia" w:ascii="仿宋" w:hAnsi="仿宋" w:eastAsia="仿宋"/>
          <w:sz w:val="32"/>
          <w:szCs w:val="32"/>
        </w:rPr>
        <w:t>，具体按照合同书执行</w:t>
      </w:r>
      <w:r>
        <w:rPr>
          <w:rFonts w:ascii="仿宋" w:hAnsi="仿宋" w:eastAsia="仿宋"/>
          <w:sz w:val="32"/>
          <w:szCs w:val="32"/>
        </w:rPr>
        <w:t>。</w:t>
      </w:r>
    </w:p>
    <w:p w14:paraId="144ED613">
      <w:pPr>
        <w:ind w:firstLine="640" w:firstLineChars="200"/>
        <w:rPr>
          <w:rFonts w:ascii="仿宋" w:hAnsi="仿宋" w:eastAsia="仿宋"/>
          <w:sz w:val="32"/>
          <w:szCs w:val="32"/>
        </w:rPr>
      </w:pPr>
      <w:r>
        <w:rPr>
          <w:rFonts w:hint="eastAsia" w:ascii="仿宋" w:hAnsi="仿宋" w:eastAsia="仿宋"/>
          <w:sz w:val="32"/>
          <w:szCs w:val="32"/>
        </w:rPr>
        <w:t xml:space="preserve">第二十八条 </w:t>
      </w:r>
      <w:r>
        <w:rPr>
          <w:rFonts w:ascii="仿宋" w:hAnsi="仿宋" w:eastAsia="仿宋"/>
          <w:sz w:val="32"/>
          <w:szCs w:val="32"/>
        </w:rPr>
        <w:t>课题结题验收时</w:t>
      </w:r>
      <w:r>
        <w:rPr>
          <w:rFonts w:hint="eastAsia" w:ascii="仿宋" w:hAnsi="仿宋" w:eastAsia="仿宋"/>
          <w:sz w:val="32"/>
          <w:szCs w:val="32"/>
        </w:rPr>
        <w:t>，</w:t>
      </w:r>
      <w:r>
        <w:rPr>
          <w:rFonts w:ascii="仿宋" w:hAnsi="仿宋" w:eastAsia="仿宋"/>
          <w:sz w:val="32"/>
          <w:szCs w:val="32"/>
        </w:rPr>
        <w:t>课题负责人应向实验室提交加盖财务部门公章的经费开支决算报告。</w:t>
      </w:r>
      <w:r>
        <w:rPr>
          <w:rFonts w:hint="eastAsia" w:ascii="仿宋" w:hAnsi="仿宋" w:eastAsia="仿宋"/>
          <w:sz w:val="32"/>
          <w:szCs w:val="32"/>
        </w:rPr>
        <w:t>结余经费可顺延一年使用，用于支付在课题支持下发表论文的版面费、专利费用、参加学术会议的注册费等。</w:t>
      </w:r>
    </w:p>
    <w:p w14:paraId="5769AC70">
      <w:pPr>
        <w:ind w:firstLine="640" w:firstLineChars="200"/>
        <w:rPr>
          <w:rFonts w:ascii="仿宋" w:hAnsi="仿宋" w:eastAsia="仿宋"/>
          <w:sz w:val="32"/>
          <w:szCs w:val="32"/>
        </w:rPr>
      </w:pPr>
      <w:r>
        <w:rPr>
          <w:rFonts w:hint="eastAsia" w:ascii="仿宋" w:hAnsi="仿宋" w:eastAsia="仿宋"/>
          <w:sz w:val="32"/>
          <w:szCs w:val="32"/>
        </w:rPr>
        <w:t>第二十九条 课题负责人按照合同规定日期提交课题年度执行情况，实验室组织专家对课题年度研究情况进行评审，对研究不达标者的课题提出修改意见。</w:t>
      </w:r>
      <w:r>
        <w:rPr>
          <w:rFonts w:ascii="仿宋" w:hAnsi="仿宋" w:eastAsia="仿宋"/>
          <w:sz w:val="32"/>
          <w:szCs w:val="32"/>
        </w:rPr>
        <w:t>课题负责人应在收到</w:t>
      </w:r>
      <w:r>
        <w:rPr>
          <w:rFonts w:hint="eastAsia" w:ascii="仿宋" w:hAnsi="仿宋" w:eastAsia="仿宋"/>
          <w:sz w:val="32"/>
          <w:szCs w:val="32"/>
        </w:rPr>
        <w:t>不达标</w:t>
      </w:r>
      <w:r>
        <w:rPr>
          <w:rFonts w:ascii="仿宋" w:hAnsi="仿宋" w:eastAsia="仿宋"/>
          <w:sz w:val="32"/>
          <w:szCs w:val="32"/>
        </w:rPr>
        <w:t>通知后一个月内，提交修改后的</w:t>
      </w:r>
      <w:r>
        <w:rPr>
          <w:rFonts w:hint="eastAsia" w:ascii="仿宋" w:hAnsi="仿宋" w:eastAsia="仿宋"/>
          <w:sz w:val="32"/>
          <w:szCs w:val="32"/>
        </w:rPr>
        <w:t>年度</w:t>
      </w:r>
      <w:r>
        <w:rPr>
          <w:rFonts w:ascii="仿宋" w:hAnsi="仿宋" w:eastAsia="仿宋"/>
          <w:sz w:val="32"/>
          <w:szCs w:val="32"/>
        </w:rPr>
        <w:t>评审材料，经实验室审查合格后</w:t>
      </w:r>
      <w:r>
        <w:rPr>
          <w:rFonts w:hint="eastAsia" w:ascii="仿宋" w:hAnsi="仿宋" w:eastAsia="仿宋"/>
          <w:sz w:val="32"/>
          <w:szCs w:val="32"/>
        </w:rPr>
        <w:t>继续资助。否则，实验室</w:t>
      </w:r>
      <w:r>
        <w:rPr>
          <w:rFonts w:ascii="仿宋" w:hAnsi="仿宋" w:eastAsia="仿宋"/>
          <w:sz w:val="32"/>
          <w:szCs w:val="32"/>
        </w:rPr>
        <w:t>有权终止资助并收回结余资金。</w:t>
      </w:r>
    </w:p>
    <w:p w14:paraId="55B723F5">
      <w:pPr>
        <w:ind w:firstLine="640" w:firstLineChars="200"/>
        <w:rPr>
          <w:rFonts w:ascii="仿宋" w:hAnsi="仿宋" w:eastAsia="仿宋"/>
          <w:sz w:val="32"/>
          <w:szCs w:val="32"/>
        </w:rPr>
      </w:pPr>
      <w:r>
        <w:rPr>
          <w:rFonts w:hint="eastAsia" w:ascii="仿宋" w:hAnsi="仿宋" w:eastAsia="仿宋"/>
          <w:sz w:val="32"/>
          <w:szCs w:val="32"/>
        </w:rPr>
        <w:t>第三十条 开放课题在实施期间，因不可抗力（如自然灾害、重大公共卫生事件等）或经论证确属技术路线选择、学科发展方向等非人为主观原因导致无法继续执行，需要终止或暂停的，对已使用的资助经费经审计确认合规后，不予追回。剩余的资助经费，按相关规定收回资助方。</w:t>
      </w:r>
    </w:p>
    <w:p w14:paraId="09F2C6BD">
      <w:pPr>
        <w:jc w:val="center"/>
        <w:rPr>
          <w:rFonts w:ascii="仿宋" w:hAnsi="仿宋" w:eastAsia="仿宋"/>
          <w:b/>
          <w:bCs/>
          <w:sz w:val="32"/>
          <w:szCs w:val="32"/>
        </w:rPr>
      </w:pPr>
      <w:r>
        <w:rPr>
          <w:rFonts w:hint="eastAsia" w:ascii="仿宋" w:hAnsi="仿宋" w:eastAsia="仿宋"/>
          <w:b/>
          <w:bCs/>
          <w:sz w:val="32"/>
          <w:szCs w:val="32"/>
        </w:rPr>
        <w:t>第七章 优先原则</w:t>
      </w:r>
    </w:p>
    <w:p w14:paraId="41BEFEC7">
      <w:pPr>
        <w:ind w:firstLine="640" w:firstLineChars="200"/>
        <w:rPr>
          <w:rFonts w:ascii="仿宋" w:hAnsi="仿宋" w:eastAsia="仿宋"/>
          <w:sz w:val="32"/>
          <w:szCs w:val="32"/>
        </w:rPr>
      </w:pPr>
      <w:r>
        <w:rPr>
          <w:rFonts w:hint="eastAsia" w:ascii="仿宋" w:hAnsi="仿宋" w:eastAsia="仿宋"/>
          <w:sz w:val="32"/>
          <w:szCs w:val="32"/>
        </w:rPr>
        <w:t>第三十一条 实验室优先资助那些高水平研究课题，这些课题能够在基础和应用基础研究中尽快进入国际前沿领域，并有良好的应用前景和明显的经济效益。</w:t>
      </w:r>
    </w:p>
    <w:p w14:paraId="5740E205">
      <w:pPr>
        <w:ind w:firstLine="640" w:firstLineChars="200"/>
        <w:rPr>
          <w:rFonts w:ascii="仿宋" w:hAnsi="仿宋" w:eastAsia="仿宋"/>
          <w:sz w:val="32"/>
          <w:szCs w:val="32"/>
        </w:rPr>
      </w:pPr>
      <w:r>
        <w:rPr>
          <w:rFonts w:hint="eastAsia" w:ascii="仿宋" w:hAnsi="仿宋" w:eastAsia="仿宋"/>
          <w:sz w:val="32"/>
          <w:szCs w:val="32"/>
        </w:rPr>
        <w:t>第三十二条 为鼓励年青人才的成长，优先资助45岁以下的中青年专业人员作为课题负责人。</w:t>
      </w:r>
    </w:p>
    <w:p w14:paraId="7ED0D513">
      <w:pPr>
        <w:jc w:val="center"/>
        <w:rPr>
          <w:rFonts w:ascii="仿宋" w:hAnsi="仿宋" w:eastAsia="仿宋"/>
          <w:b/>
          <w:bCs/>
          <w:sz w:val="32"/>
          <w:szCs w:val="32"/>
        </w:rPr>
      </w:pPr>
      <w:r>
        <w:rPr>
          <w:rFonts w:hint="eastAsia" w:ascii="仿宋" w:hAnsi="仿宋" w:eastAsia="仿宋"/>
          <w:b/>
          <w:bCs/>
          <w:sz w:val="32"/>
          <w:szCs w:val="32"/>
        </w:rPr>
        <w:t>第八章 附则</w:t>
      </w:r>
    </w:p>
    <w:p w14:paraId="2C8B2AD2">
      <w:pPr>
        <w:ind w:firstLine="640" w:firstLineChars="200"/>
        <w:rPr>
          <w:rFonts w:ascii="仿宋" w:hAnsi="仿宋" w:eastAsia="仿宋"/>
          <w:sz w:val="32"/>
          <w:szCs w:val="32"/>
        </w:rPr>
      </w:pPr>
      <w:r>
        <w:rPr>
          <w:rFonts w:hint="eastAsia" w:ascii="仿宋" w:hAnsi="仿宋" w:eastAsia="仿宋"/>
          <w:sz w:val="32"/>
          <w:szCs w:val="32"/>
        </w:rPr>
        <w:t xml:space="preserve">第三十三条 </w:t>
      </w:r>
      <w:r>
        <w:rPr>
          <w:rFonts w:ascii="仿宋" w:hAnsi="仿宋" w:eastAsia="仿宋"/>
          <w:sz w:val="32"/>
          <w:szCs w:val="32"/>
        </w:rPr>
        <w:t>如果发现有弄虚作假、抄袭等学术腐败行为，实验室有权追回所资助的经费。如果</w:t>
      </w:r>
      <w:r>
        <w:rPr>
          <w:rFonts w:hint="eastAsia" w:ascii="仿宋" w:hAnsi="仿宋" w:eastAsia="仿宋"/>
          <w:sz w:val="32"/>
          <w:szCs w:val="32"/>
        </w:rPr>
        <w:t>这些行为</w:t>
      </w:r>
      <w:r>
        <w:rPr>
          <w:rFonts w:ascii="仿宋" w:hAnsi="仿宋" w:eastAsia="仿宋"/>
          <w:sz w:val="32"/>
          <w:szCs w:val="32"/>
        </w:rPr>
        <w:t>对实验室的声誉造成损害，实验室有追究其法律责任的权利。</w:t>
      </w:r>
    </w:p>
    <w:p w14:paraId="71F689EF">
      <w:pPr>
        <w:ind w:firstLine="640" w:firstLineChars="200"/>
        <w:rPr>
          <w:rFonts w:ascii="仿宋" w:hAnsi="仿宋" w:eastAsia="仿宋"/>
          <w:sz w:val="32"/>
          <w:szCs w:val="32"/>
        </w:rPr>
      </w:pPr>
      <w:r>
        <w:rPr>
          <w:rFonts w:hint="eastAsia" w:ascii="仿宋" w:hAnsi="仿宋" w:eastAsia="仿宋"/>
          <w:sz w:val="32"/>
          <w:szCs w:val="32"/>
        </w:rPr>
        <w:t>第三十四条 本管理办法由实验室办公室负责解释，对于未尽事宜，依据具体情况另行研究解决。</w:t>
      </w:r>
    </w:p>
    <w:p w14:paraId="1A169940">
      <w:pPr>
        <w:ind w:firstLine="640" w:firstLineChars="200"/>
        <w:rPr>
          <w:rFonts w:ascii="仿宋" w:hAnsi="仿宋" w:eastAsia="仿宋"/>
          <w:sz w:val="32"/>
          <w:szCs w:val="32"/>
        </w:rPr>
      </w:pPr>
      <w:r>
        <w:rPr>
          <w:rFonts w:hint="eastAsia" w:ascii="仿宋" w:hAnsi="仿宋" w:eastAsia="仿宋"/>
          <w:sz w:val="32"/>
          <w:szCs w:val="32"/>
        </w:rPr>
        <w:t>第三十五条 本管理办法自公布之日起施行，由实验室办公室负责解释。</w:t>
      </w:r>
    </w:p>
    <w:p w14:paraId="7001F6CD">
      <w:pPr>
        <w:rPr>
          <w:rFonts w:ascii="仿宋" w:hAnsi="仿宋" w:eastAsia="仿宋"/>
          <w:sz w:val="32"/>
          <w:szCs w:val="32"/>
        </w:rPr>
      </w:pPr>
    </w:p>
    <w:p w14:paraId="16660C6A">
      <w:pPr>
        <w:rPr>
          <w:rFonts w:ascii="仿宋" w:hAnsi="仿宋" w:eastAsia="仿宋"/>
          <w:sz w:val="32"/>
          <w:szCs w:val="32"/>
        </w:rPr>
      </w:pPr>
    </w:p>
    <w:p w14:paraId="177564F7">
      <w:pPr>
        <w:snapToGrid w:val="0"/>
        <w:spacing w:line="360" w:lineRule="auto"/>
        <w:jc w:val="center"/>
        <w:rPr>
          <w:rFonts w:ascii="微软雅黑" w:hAnsi="微软雅黑" w:eastAsia="微软雅黑"/>
          <w:b/>
          <w:color w:val="000000" w:themeColor="text1"/>
          <w:sz w:val="40"/>
          <w:szCs w:val="40"/>
          <w14:textFill>
            <w14:solidFill>
              <w14:schemeClr w14:val="tx1"/>
            </w14:solidFill>
          </w14:textFill>
        </w:rPr>
      </w:pPr>
    </w:p>
    <w:bookmarkEnd w:id="0"/>
    <w:p w14:paraId="1119AD3D">
      <w:pPr>
        <w:snapToGrid w:val="0"/>
        <w:spacing w:line="360" w:lineRule="auto"/>
        <w:jc w:val="center"/>
        <w:rPr>
          <w:rFonts w:ascii="微软雅黑" w:hAnsi="微软雅黑" w:eastAsia="微软雅黑"/>
          <w:b/>
          <w:color w:val="000000" w:themeColor="text1"/>
          <w:sz w:val="40"/>
          <w:szCs w:val="40"/>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0ZWUyOWNiNzg2NmQwMzg1NDBhNjU5OTMxNWUwODcifQ=="/>
  </w:docVars>
  <w:rsids>
    <w:rsidRoot w:val="00D75D2A"/>
    <w:rsid w:val="00007D69"/>
    <w:rsid w:val="0001211B"/>
    <w:rsid w:val="000176B3"/>
    <w:rsid w:val="00024CD0"/>
    <w:rsid w:val="0003053F"/>
    <w:rsid w:val="00031B46"/>
    <w:rsid w:val="00042ED5"/>
    <w:rsid w:val="00045EA5"/>
    <w:rsid w:val="00057D35"/>
    <w:rsid w:val="00060637"/>
    <w:rsid w:val="00066658"/>
    <w:rsid w:val="000672C3"/>
    <w:rsid w:val="00070478"/>
    <w:rsid w:val="000710A4"/>
    <w:rsid w:val="00072FFA"/>
    <w:rsid w:val="00084D2D"/>
    <w:rsid w:val="000854B5"/>
    <w:rsid w:val="00091286"/>
    <w:rsid w:val="0009442B"/>
    <w:rsid w:val="000963AC"/>
    <w:rsid w:val="000B4461"/>
    <w:rsid w:val="000B6586"/>
    <w:rsid w:val="000C3637"/>
    <w:rsid w:val="000C6545"/>
    <w:rsid w:val="000C7ADD"/>
    <w:rsid w:val="000E27C8"/>
    <w:rsid w:val="000E75EA"/>
    <w:rsid w:val="000F10D2"/>
    <w:rsid w:val="001049F4"/>
    <w:rsid w:val="00112D53"/>
    <w:rsid w:val="00114E29"/>
    <w:rsid w:val="0012520B"/>
    <w:rsid w:val="00126B6C"/>
    <w:rsid w:val="0013021B"/>
    <w:rsid w:val="00136CC1"/>
    <w:rsid w:val="00144F0A"/>
    <w:rsid w:val="001522AF"/>
    <w:rsid w:val="001567E6"/>
    <w:rsid w:val="00160B1C"/>
    <w:rsid w:val="00161A27"/>
    <w:rsid w:val="00162E5C"/>
    <w:rsid w:val="001636A0"/>
    <w:rsid w:val="00164F23"/>
    <w:rsid w:val="00190082"/>
    <w:rsid w:val="001A36EF"/>
    <w:rsid w:val="001C216B"/>
    <w:rsid w:val="001C4B52"/>
    <w:rsid w:val="001C71AB"/>
    <w:rsid w:val="001D10EF"/>
    <w:rsid w:val="001D7FB2"/>
    <w:rsid w:val="001E0485"/>
    <w:rsid w:val="001E1128"/>
    <w:rsid w:val="001E2A3C"/>
    <w:rsid w:val="001E5255"/>
    <w:rsid w:val="001F322C"/>
    <w:rsid w:val="002052B2"/>
    <w:rsid w:val="0021074F"/>
    <w:rsid w:val="00214665"/>
    <w:rsid w:val="002150B5"/>
    <w:rsid w:val="00216F43"/>
    <w:rsid w:val="00224CBE"/>
    <w:rsid w:val="00231835"/>
    <w:rsid w:val="002371A1"/>
    <w:rsid w:val="002545F5"/>
    <w:rsid w:val="00256A78"/>
    <w:rsid w:val="00271D7F"/>
    <w:rsid w:val="00274F8F"/>
    <w:rsid w:val="002769DB"/>
    <w:rsid w:val="0028508A"/>
    <w:rsid w:val="00294406"/>
    <w:rsid w:val="002A33B8"/>
    <w:rsid w:val="002B2C6D"/>
    <w:rsid w:val="002C6AAB"/>
    <w:rsid w:val="002D1C6C"/>
    <w:rsid w:val="002D6F91"/>
    <w:rsid w:val="002E1D9A"/>
    <w:rsid w:val="002E268F"/>
    <w:rsid w:val="002E77D8"/>
    <w:rsid w:val="002F262F"/>
    <w:rsid w:val="002F7E2F"/>
    <w:rsid w:val="00301BB3"/>
    <w:rsid w:val="00313A0B"/>
    <w:rsid w:val="00315928"/>
    <w:rsid w:val="003308A8"/>
    <w:rsid w:val="003346DA"/>
    <w:rsid w:val="00343E7A"/>
    <w:rsid w:val="00353F19"/>
    <w:rsid w:val="003560CE"/>
    <w:rsid w:val="00360595"/>
    <w:rsid w:val="00360E26"/>
    <w:rsid w:val="00370343"/>
    <w:rsid w:val="00372384"/>
    <w:rsid w:val="003873EA"/>
    <w:rsid w:val="00394FF3"/>
    <w:rsid w:val="00397E43"/>
    <w:rsid w:val="00397F2D"/>
    <w:rsid w:val="003A6902"/>
    <w:rsid w:val="003B4CED"/>
    <w:rsid w:val="003C0479"/>
    <w:rsid w:val="003C78EE"/>
    <w:rsid w:val="003D69FB"/>
    <w:rsid w:val="003E6005"/>
    <w:rsid w:val="003E70BA"/>
    <w:rsid w:val="003E723E"/>
    <w:rsid w:val="003E783C"/>
    <w:rsid w:val="003F6273"/>
    <w:rsid w:val="00406291"/>
    <w:rsid w:val="00413CA4"/>
    <w:rsid w:val="004157AC"/>
    <w:rsid w:val="0041744A"/>
    <w:rsid w:val="00420854"/>
    <w:rsid w:val="0042618C"/>
    <w:rsid w:val="004276B2"/>
    <w:rsid w:val="00461D53"/>
    <w:rsid w:val="00471A95"/>
    <w:rsid w:val="00472925"/>
    <w:rsid w:val="004741CE"/>
    <w:rsid w:val="00481E63"/>
    <w:rsid w:val="00495DC9"/>
    <w:rsid w:val="00497E02"/>
    <w:rsid w:val="004A79A4"/>
    <w:rsid w:val="004A7F02"/>
    <w:rsid w:val="004B6053"/>
    <w:rsid w:val="004D5236"/>
    <w:rsid w:val="004E09FD"/>
    <w:rsid w:val="004E4859"/>
    <w:rsid w:val="004F2AF9"/>
    <w:rsid w:val="004F5740"/>
    <w:rsid w:val="005105D5"/>
    <w:rsid w:val="00537DBF"/>
    <w:rsid w:val="005469C0"/>
    <w:rsid w:val="00547CDD"/>
    <w:rsid w:val="005520A1"/>
    <w:rsid w:val="00557B60"/>
    <w:rsid w:val="00562C7E"/>
    <w:rsid w:val="00563583"/>
    <w:rsid w:val="00564BAB"/>
    <w:rsid w:val="005771C3"/>
    <w:rsid w:val="00581D91"/>
    <w:rsid w:val="00584DA1"/>
    <w:rsid w:val="0059361F"/>
    <w:rsid w:val="00595677"/>
    <w:rsid w:val="005A70F1"/>
    <w:rsid w:val="005C1F17"/>
    <w:rsid w:val="005E4809"/>
    <w:rsid w:val="005F70C9"/>
    <w:rsid w:val="006060B3"/>
    <w:rsid w:val="006077F2"/>
    <w:rsid w:val="00615AAA"/>
    <w:rsid w:val="00616E76"/>
    <w:rsid w:val="00621833"/>
    <w:rsid w:val="00621D4E"/>
    <w:rsid w:val="00623F7C"/>
    <w:rsid w:val="00632CB1"/>
    <w:rsid w:val="006376C8"/>
    <w:rsid w:val="006510DC"/>
    <w:rsid w:val="006607BF"/>
    <w:rsid w:val="00663DC3"/>
    <w:rsid w:val="0066668D"/>
    <w:rsid w:val="0067613F"/>
    <w:rsid w:val="00694731"/>
    <w:rsid w:val="00697FA1"/>
    <w:rsid w:val="006C36A1"/>
    <w:rsid w:val="006D150C"/>
    <w:rsid w:val="006E0358"/>
    <w:rsid w:val="006E2524"/>
    <w:rsid w:val="007042A6"/>
    <w:rsid w:val="007144FC"/>
    <w:rsid w:val="007200DB"/>
    <w:rsid w:val="00722CF4"/>
    <w:rsid w:val="00732709"/>
    <w:rsid w:val="00732F8E"/>
    <w:rsid w:val="00735144"/>
    <w:rsid w:val="00746E1D"/>
    <w:rsid w:val="007471E8"/>
    <w:rsid w:val="00747492"/>
    <w:rsid w:val="00750B52"/>
    <w:rsid w:val="00764A68"/>
    <w:rsid w:val="00772794"/>
    <w:rsid w:val="007730AC"/>
    <w:rsid w:val="00777D19"/>
    <w:rsid w:val="00791DDD"/>
    <w:rsid w:val="0079355E"/>
    <w:rsid w:val="00796EE2"/>
    <w:rsid w:val="007A1DD0"/>
    <w:rsid w:val="007B0D0F"/>
    <w:rsid w:val="007B4AD5"/>
    <w:rsid w:val="007B5E36"/>
    <w:rsid w:val="007D494D"/>
    <w:rsid w:val="007D704A"/>
    <w:rsid w:val="007E08C3"/>
    <w:rsid w:val="007E2065"/>
    <w:rsid w:val="007E216C"/>
    <w:rsid w:val="007F105D"/>
    <w:rsid w:val="007F1141"/>
    <w:rsid w:val="007F2F27"/>
    <w:rsid w:val="007F577C"/>
    <w:rsid w:val="007F6CDF"/>
    <w:rsid w:val="00805B04"/>
    <w:rsid w:val="00807A1B"/>
    <w:rsid w:val="00811FCE"/>
    <w:rsid w:val="00820980"/>
    <w:rsid w:val="008223CA"/>
    <w:rsid w:val="00823D30"/>
    <w:rsid w:val="0083461A"/>
    <w:rsid w:val="00843AD0"/>
    <w:rsid w:val="00847641"/>
    <w:rsid w:val="0086525A"/>
    <w:rsid w:val="0088562B"/>
    <w:rsid w:val="00886CEB"/>
    <w:rsid w:val="00887D40"/>
    <w:rsid w:val="008A4AC6"/>
    <w:rsid w:val="008A71FC"/>
    <w:rsid w:val="008B612B"/>
    <w:rsid w:val="008D10A9"/>
    <w:rsid w:val="008D26E4"/>
    <w:rsid w:val="008D3B44"/>
    <w:rsid w:val="008D6153"/>
    <w:rsid w:val="008D6B46"/>
    <w:rsid w:val="008E0D34"/>
    <w:rsid w:val="008E309E"/>
    <w:rsid w:val="0090410B"/>
    <w:rsid w:val="009057BD"/>
    <w:rsid w:val="00921095"/>
    <w:rsid w:val="00921F20"/>
    <w:rsid w:val="00927990"/>
    <w:rsid w:val="00930282"/>
    <w:rsid w:val="00930D60"/>
    <w:rsid w:val="00931CE5"/>
    <w:rsid w:val="0094298F"/>
    <w:rsid w:val="009448AB"/>
    <w:rsid w:val="00947997"/>
    <w:rsid w:val="00954168"/>
    <w:rsid w:val="00957EAE"/>
    <w:rsid w:val="00963359"/>
    <w:rsid w:val="00972C3E"/>
    <w:rsid w:val="00976FBF"/>
    <w:rsid w:val="009916CE"/>
    <w:rsid w:val="00991C5A"/>
    <w:rsid w:val="009B196B"/>
    <w:rsid w:val="009C0ADC"/>
    <w:rsid w:val="009C7A0C"/>
    <w:rsid w:val="009D073B"/>
    <w:rsid w:val="009D1A5F"/>
    <w:rsid w:val="009D2B60"/>
    <w:rsid w:val="009D4E73"/>
    <w:rsid w:val="009E7505"/>
    <w:rsid w:val="009F44DD"/>
    <w:rsid w:val="00A031B4"/>
    <w:rsid w:val="00A0726D"/>
    <w:rsid w:val="00A156A6"/>
    <w:rsid w:val="00A33756"/>
    <w:rsid w:val="00A34CFA"/>
    <w:rsid w:val="00A363C9"/>
    <w:rsid w:val="00A370B5"/>
    <w:rsid w:val="00A41CAD"/>
    <w:rsid w:val="00A445AF"/>
    <w:rsid w:val="00A50E32"/>
    <w:rsid w:val="00A6014D"/>
    <w:rsid w:val="00A655C2"/>
    <w:rsid w:val="00A67339"/>
    <w:rsid w:val="00A759E5"/>
    <w:rsid w:val="00A92203"/>
    <w:rsid w:val="00A9240C"/>
    <w:rsid w:val="00AA3505"/>
    <w:rsid w:val="00AA776A"/>
    <w:rsid w:val="00AB3CCF"/>
    <w:rsid w:val="00AC79C8"/>
    <w:rsid w:val="00AD3904"/>
    <w:rsid w:val="00AE12D0"/>
    <w:rsid w:val="00AE457A"/>
    <w:rsid w:val="00AF5B5D"/>
    <w:rsid w:val="00AF7394"/>
    <w:rsid w:val="00B05633"/>
    <w:rsid w:val="00B10142"/>
    <w:rsid w:val="00B155EF"/>
    <w:rsid w:val="00B30019"/>
    <w:rsid w:val="00B31760"/>
    <w:rsid w:val="00B51C46"/>
    <w:rsid w:val="00B568BE"/>
    <w:rsid w:val="00B660E7"/>
    <w:rsid w:val="00B66E71"/>
    <w:rsid w:val="00B825C2"/>
    <w:rsid w:val="00B96A37"/>
    <w:rsid w:val="00BA2A50"/>
    <w:rsid w:val="00BA544B"/>
    <w:rsid w:val="00BA6B32"/>
    <w:rsid w:val="00BA6F7C"/>
    <w:rsid w:val="00BA6FC9"/>
    <w:rsid w:val="00BB4363"/>
    <w:rsid w:val="00BB64F4"/>
    <w:rsid w:val="00BB7597"/>
    <w:rsid w:val="00BB75D1"/>
    <w:rsid w:val="00BC2AA4"/>
    <w:rsid w:val="00BC5AAA"/>
    <w:rsid w:val="00BD27D4"/>
    <w:rsid w:val="00BD7950"/>
    <w:rsid w:val="00BE4C9C"/>
    <w:rsid w:val="00BE673A"/>
    <w:rsid w:val="00BF1839"/>
    <w:rsid w:val="00C00BD5"/>
    <w:rsid w:val="00C127B2"/>
    <w:rsid w:val="00C17B8E"/>
    <w:rsid w:val="00C22759"/>
    <w:rsid w:val="00C22EAC"/>
    <w:rsid w:val="00C27F75"/>
    <w:rsid w:val="00C319D1"/>
    <w:rsid w:val="00C33C49"/>
    <w:rsid w:val="00C50D88"/>
    <w:rsid w:val="00C5531A"/>
    <w:rsid w:val="00C57592"/>
    <w:rsid w:val="00C607F9"/>
    <w:rsid w:val="00C63886"/>
    <w:rsid w:val="00C66754"/>
    <w:rsid w:val="00C66D48"/>
    <w:rsid w:val="00C7276A"/>
    <w:rsid w:val="00C80646"/>
    <w:rsid w:val="00C87213"/>
    <w:rsid w:val="00C93BEA"/>
    <w:rsid w:val="00C975DF"/>
    <w:rsid w:val="00CA1084"/>
    <w:rsid w:val="00CB1DA4"/>
    <w:rsid w:val="00CB480D"/>
    <w:rsid w:val="00CB6393"/>
    <w:rsid w:val="00CC4D8F"/>
    <w:rsid w:val="00CD34FA"/>
    <w:rsid w:val="00CD3ADE"/>
    <w:rsid w:val="00CE0D46"/>
    <w:rsid w:val="00CF3521"/>
    <w:rsid w:val="00D21C4D"/>
    <w:rsid w:val="00D41CAB"/>
    <w:rsid w:val="00D45077"/>
    <w:rsid w:val="00D45AFB"/>
    <w:rsid w:val="00D53158"/>
    <w:rsid w:val="00D54B60"/>
    <w:rsid w:val="00D56DEB"/>
    <w:rsid w:val="00D624C4"/>
    <w:rsid w:val="00D6352D"/>
    <w:rsid w:val="00D63EBE"/>
    <w:rsid w:val="00D6509A"/>
    <w:rsid w:val="00D74414"/>
    <w:rsid w:val="00D75D2A"/>
    <w:rsid w:val="00D80633"/>
    <w:rsid w:val="00D82E60"/>
    <w:rsid w:val="00D86E31"/>
    <w:rsid w:val="00D920D3"/>
    <w:rsid w:val="00D96963"/>
    <w:rsid w:val="00DB49C2"/>
    <w:rsid w:val="00DC1F85"/>
    <w:rsid w:val="00DC3A9E"/>
    <w:rsid w:val="00DC4DCE"/>
    <w:rsid w:val="00DD2A78"/>
    <w:rsid w:val="00DE1059"/>
    <w:rsid w:val="00DE7DC5"/>
    <w:rsid w:val="00E030F9"/>
    <w:rsid w:val="00E15BD0"/>
    <w:rsid w:val="00E17B2B"/>
    <w:rsid w:val="00E21547"/>
    <w:rsid w:val="00E3548E"/>
    <w:rsid w:val="00E35E2D"/>
    <w:rsid w:val="00E43C52"/>
    <w:rsid w:val="00E45F33"/>
    <w:rsid w:val="00E46185"/>
    <w:rsid w:val="00E50207"/>
    <w:rsid w:val="00E74978"/>
    <w:rsid w:val="00E84A43"/>
    <w:rsid w:val="00E84DD7"/>
    <w:rsid w:val="00E864AF"/>
    <w:rsid w:val="00E95371"/>
    <w:rsid w:val="00EA4E34"/>
    <w:rsid w:val="00EB120A"/>
    <w:rsid w:val="00ED36EC"/>
    <w:rsid w:val="00ED43FE"/>
    <w:rsid w:val="00ED6658"/>
    <w:rsid w:val="00EE5F04"/>
    <w:rsid w:val="00EF0DB3"/>
    <w:rsid w:val="00EF48FC"/>
    <w:rsid w:val="00EF50A7"/>
    <w:rsid w:val="00EF6F3B"/>
    <w:rsid w:val="00F01699"/>
    <w:rsid w:val="00F116B9"/>
    <w:rsid w:val="00F12072"/>
    <w:rsid w:val="00F237E5"/>
    <w:rsid w:val="00F2421B"/>
    <w:rsid w:val="00F24B61"/>
    <w:rsid w:val="00F35365"/>
    <w:rsid w:val="00F5189A"/>
    <w:rsid w:val="00F72402"/>
    <w:rsid w:val="00F73C44"/>
    <w:rsid w:val="00F749BD"/>
    <w:rsid w:val="00F801AE"/>
    <w:rsid w:val="00F83B68"/>
    <w:rsid w:val="00F86653"/>
    <w:rsid w:val="00F91B22"/>
    <w:rsid w:val="00FA2162"/>
    <w:rsid w:val="00FC0CD9"/>
    <w:rsid w:val="00FC1EB5"/>
    <w:rsid w:val="00FC4039"/>
    <w:rsid w:val="00FC4B57"/>
    <w:rsid w:val="00FC667C"/>
    <w:rsid w:val="00FD15F4"/>
    <w:rsid w:val="00FD7CC2"/>
    <w:rsid w:val="00FE410A"/>
    <w:rsid w:val="00FF69D6"/>
    <w:rsid w:val="1434102A"/>
    <w:rsid w:val="1F3E02A9"/>
    <w:rsid w:val="2E146217"/>
    <w:rsid w:val="2E5D4E3B"/>
    <w:rsid w:val="5CFC1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6"/>
    <w:qFormat/>
    <w:uiPriority w:val="0"/>
    <w:pPr>
      <w:ind w:left="100" w:leftChars="2500"/>
    </w:pPr>
  </w:style>
  <w:style w:type="paragraph" w:styleId="3">
    <w:name w:val="Body Text Indent 2"/>
    <w:basedOn w:val="1"/>
    <w:link w:val="13"/>
    <w:qFormat/>
    <w:uiPriority w:val="0"/>
    <w:pPr>
      <w:spacing w:after="120" w:line="480" w:lineRule="auto"/>
      <w:ind w:left="420" w:leftChars="200"/>
    </w:pPr>
  </w:style>
  <w:style w:type="paragraph" w:styleId="4">
    <w:name w:val="Balloon Text"/>
    <w:basedOn w:val="1"/>
    <w:link w:val="17"/>
    <w:semiHidden/>
    <w:unhideWhenUsed/>
    <w:qFormat/>
    <w:uiPriority w:val="99"/>
    <w:rPr>
      <w:sz w:val="18"/>
      <w:szCs w:val="18"/>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Hyperlink"/>
    <w:basedOn w:val="10"/>
    <w:unhideWhenUsed/>
    <w:uiPriority w:val="99"/>
    <w:rPr>
      <w:color w:val="0563C1" w:themeColor="hyperlink"/>
      <w:u w:val="single"/>
      <w14:textFill>
        <w14:solidFill>
          <w14:schemeClr w14:val="hlink"/>
        </w14:solidFill>
      </w14:textFill>
    </w:rPr>
  </w:style>
  <w:style w:type="character" w:customStyle="1" w:styleId="13">
    <w:name w:val="正文文本缩进 2 字符"/>
    <w:basedOn w:val="10"/>
    <w:link w:val="3"/>
    <w:qFormat/>
    <w:uiPriority w:val="0"/>
    <w:rPr>
      <w:rFonts w:ascii="Times New Roman" w:hAnsi="Times New Roman" w:eastAsia="宋体" w:cs="Times New Roman"/>
      <w:szCs w:val="24"/>
    </w:rPr>
  </w:style>
  <w:style w:type="character" w:customStyle="1" w:styleId="14">
    <w:name w:val="页眉 字符"/>
    <w:basedOn w:val="10"/>
    <w:link w:val="6"/>
    <w:qFormat/>
    <w:uiPriority w:val="0"/>
    <w:rPr>
      <w:rFonts w:ascii="Times New Roman" w:hAnsi="Times New Roman" w:eastAsia="宋体" w:cs="Times New Roman"/>
      <w:sz w:val="18"/>
      <w:szCs w:val="18"/>
    </w:rPr>
  </w:style>
  <w:style w:type="character" w:customStyle="1" w:styleId="15">
    <w:name w:val="日期 字符"/>
    <w:basedOn w:val="10"/>
    <w:semiHidden/>
    <w:qFormat/>
    <w:uiPriority w:val="99"/>
    <w:rPr>
      <w:rFonts w:ascii="Times New Roman" w:hAnsi="Times New Roman" w:eastAsia="宋体" w:cs="Times New Roman"/>
      <w:szCs w:val="24"/>
    </w:rPr>
  </w:style>
  <w:style w:type="character" w:customStyle="1" w:styleId="16">
    <w:name w:val="日期 字符1"/>
    <w:link w:val="2"/>
    <w:qFormat/>
    <w:uiPriority w:val="0"/>
    <w:rPr>
      <w:rFonts w:ascii="Times New Roman" w:hAnsi="Times New Roman" w:eastAsia="宋体" w:cs="Times New Roman"/>
      <w:szCs w:val="24"/>
    </w:rPr>
  </w:style>
  <w:style w:type="character" w:customStyle="1" w:styleId="17">
    <w:name w:val="批注框文本 字符"/>
    <w:basedOn w:val="10"/>
    <w:link w:val="4"/>
    <w:semiHidden/>
    <w:qFormat/>
    <w:uiPriority w:val="99"/>
    <w:rPr>
      <w:rFonts w:ascii="Times New Roman" w:hAnsi="Times New Roman" w:eastAsia="宋体" w:cs="Times New Roman"/>
      <w:sz w:val="18"/>
      <w:szCs w:val="18"/>
    </w:rPr>
  </w:style>
  <w:style w:type="character" w:customStyle="1" w:styleId="18">
    <w:name w:val="页脚 字符"/>
    <w:basedOn w:val="10"/>
    <w:link w:val="5"/>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Unresolved Mention"/>
    <w:basedOn w:val="10"/>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082BA-F784-4983-9AE3-C5EF9713661A}">
  <ds:schemaRefs/>
</ds:datastoreItem>
</file>

<file path=docProps/app.xml><?xml version="1.0" encoding="utf-8"?>
<Properties xmlns="http://schemas.openxmlformats.org/officeDocument/2006/extended-properties" xmlns:vt="http://schemas.openxmlformats.org/officeDocument/2006/docPropsVTypes">
  <Template>Normal</Template>
  <Pages>8</Pages>
  <Words>3279</Words>
  <Characters>3334</Characters>
  <Lines>86</Lines>
  <Paragraphs>65</Paragraphs>
  <TotalTime>2058</TotalTime>
  <ScaleCrop>false</ScaleCrop>
  <LinksUpToDate>false</LinksUpToDate>
  <CharactersWithSpaces>3384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2025-08-20T06:02:00Z</dcterms:created>
  <dc:creator>许 本超</dc:creator>
  <cp:lastModifiedBy>董德</cp:lastModifiedBy>
  <dcterms:modified xsi:type="dcterms:W3CDTF">2025-11-06T05:59:00Z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9C6A585CE8C2455B83277A6F2C16F6CF_12</vt:lpwstr>
  </property>
  <property fmtid="{D5CDD505-2E9C-101B-9397-08002B2CF9AE}" pid="4" name="KSOTemplateDocerSaveRecord">
    <vt:lpwstr>eyJoZGlkIjoiMGU0MzYwZTQ2NDM2MjZhYWVhNmMyODY3Njk1MDQ1NjEiLCJ1c2VySWQiOiI0NzgzNzA3NzEifQ==</vt:lpwstr>
  </property>
</Properties>
</file>